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065" w:rsidRDefault="00880065" w:rsidP="00880065">
      <w:pPr>
        <w:pStyle w:val="NormalWeb"/>
        <w:spacing w:before="120" w:beforeAutospacing="0" w:after="0" w:afterAutospacing="0"/>
        <w:outlineLvl w:val="0"/>
      </w:pPr>
      <w:r>
        <w:rPr>
          <w:noProof/>
          <w:lang w:val="es-MX" w:eastAsia="es-MX"/>
        </w:rPr>
        <w:drawing>
          <wp:anchor distT="0" distB="0" distL="114300" distR="114300" simplePos="0" relativeHeight="251661312" behindDoc="0" locked="0" layoutInCell="1" allowOverlap="1" wp14:anchorId="7D9F5D50" wp14:editId="65CBC776">
            <wp:simplePos x="0" y="0"/>
            <wp:positionH relativeFrom="margin">
              <wp:posOffset>-102673</wp:posOffset>
            </wp:positionH>
            <wp:positionV relativeFrom="margin">
              <wp:align>top</wp:align>
            </wp:positionV>
            <wp:extent cx="1913255" cy="961390"/>
            <wp:effectExtent l="0" t="0" r="0" b="0"/>
            <wp:wrapNone/>
            <wp:docPr id="1" name="Imagen 1" descr="/Users/marco.martinez/Downloads/Stu4C_logo_files/Main_color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co.martinez/Downloads/Stu4C_logo_files/Main_color_trans.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385" t="26769" r="12000" b="36616"/>
                    <a:stretch/>
                  </pic:blipFill>
                  <pic:spPr bwMode="auto">
                    <a:xfrm>
                      <a:off x="0" y="0"/>
                      <a:ext cx="1913255" cy="96139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g">
            <w:drawing>
              <wp:anchor distT="0" distB="0" distL="114300" distR="114300" simplePos="0" relativeHeight="251659264" behindDoc="1" locked="1" layoutInCell="1" allowOverlap="1" wp14:anchorId="47CD5B6D" wp14:editId="2C3931ED">
                <wp:simplePos x="0" y="0"/>
                <wp:positionH relativeFrom="column">
                  <wp:posOffset>-171450</wp:posOffset>
                </wp:positionH>
                <wp:positionV relativeFrom="page">
                  <wp:posOffset>471170</wp:posOffset>
                </wp:positionV>
                <wp:extent cx="7771765" cy="1943735"/>
                <wp:effectExtent l="0" t="0" r="635" b="12065"/>
                <wp:wrapNone/>
                <wp:docPr id="7" name="Grupo 15"/>
                <wp:cNvGraphicFramePr/>
                <a:graphic xmlns:a="http://schemas.openxmlformats.org/drawingml/2006/main">
                  <a:graphicData uri="http://schemas.microsoft.com/office/word/2010/wordprocessingGroup">
                    <wpg:wgp>
                      <wpg:cNvGrpSpPr/>
                      <wpg:grpSpPr>
                        <a:xfrm>
                          <a:off x="0" y="0"/>
                          <a:ext cx="7771765" cy="1943735"/>
                          <a:chOff x="0" y="0"/>
                          <a:chExt cx="6457950" cy="1769110"/>
                        </a:xfrm>
                        <a:solidFill>
                          <a:schemeClr val="bg1">
                            <a:lumMod val="85000"/>
                          </a:schemeClr>
                        </a:solidFill>
                      </wpg:grpSpPr>
                      <wps:wsp>
                        <wps:cNvPr id="8" name="Rectángulo rojo"/>
                        <wps:cNvSpPr/>
                        <wps:spPr>
                          <a:xfrm>
                            <a:off x="1133475" y="409575"/>
                            <a:ext cx="5324475" cy="98290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írculo rojo"/>
                        <wps:cNvSpPr/>
                        <wps:spPr>
                          <a:xfrm>
                            <a:off x="0" y="0"/>
                            <a:ext cx="1742324" cy="1769110"/>
                          </a:xfrm>
                          <a:prstGeom prst="donut">
                            <a:avLst>
                              <a:gd name="adj" fmla="val 2897"/>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írculo blanco"/>
                        <wps:cNvSpPr/>
                        <wps:spPr>
                          <a:xfrm>
                            <a:off x="57150" y="57150"/>
                            <a:ext cx="1639722" cy="166497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D52EC17" id="Grupo 15" o:spid="_x0000_s1026" style="position:absolute;margin-left:-13.5pt;margin-top:37.1pt;width:611.95pt;height:153.05pt;z-index:-251657216;mso-position-vertical-relative:page" coordsize="64579,1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">
                <v:rect id="Rectángulo rojo" o:spid="_x0000_s1027" style="position:absolute;left:11334;top:4095;width:53245;height:9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rojo" o:spid="_x0000_s1028" type="#_x0000_t23" style="position:absolute;width:17423;height:17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" adj="626" filled="f" stroked="f" strokeweight="1pt">
                  <v:stroke joinstyle="miter"/>
                </v:shape>
                <v:oval id="Círculo blanco" o:spid="_x0000_s1029" style="position:absolute;left:571;top:571;width:16397;height:16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" filled="f" stroked="f" strokeweight="1pt">
                  <v:stroke joinstyle="miter"/>
                </v:oval>
                <w10:wrap anchory="page"/>
                <w10:anchorlock/>
              </v:group>
            </w:pict>
          </mc:Fallback>
        </mc:AlternateContent>
      </w:r>
    </w:p>
    <w:p w:rsidR="00316E82" w:rsidRDefault="00316E82" w:rsidP="00316E82">
      <w:pPr>
        <w:pStyle w:val="NormalWeb"/>
        <w:spacing w:before="120" w:beforeAutospacing="0" w:after="0" w:afterAutospacing="0"/>
        <w:ind w:left="2832"/>
        <w:rPr>
          <w:rFonts w:ascii="Calibri" w:hAnsi="Calibri"/>
          <w:b/>
          <w:bCs/>
          <w:color w:val="000000"/>
          <w:sz w:val="28"/>
          <w:szCs w:val="28"/>
        </w:rPr>
      </w:pPr>
      <w:r w:rsidRPr="00316E82">
        <w:rPr>
          <w:rFonts w:ascii="Arial" w:hAnsi="Arial" w:cs="Arial"/>
          <w:b/>
          <w:color w:val="0070C0"/>
          <w:sz w:val="28"/>
        </w:rPr>
        <w:t>FICHA</w:t>
      </w:r>
      <w:r w:rsidRPr="00316E82">
        <w:rPr>
          <w:rFonts w:ascii="Arial" w:hAnsi="Arial" w:cs="Arial"/>
          <w:b/>
          <w:color w:val="0070C0"/>
          <w:sz w:val="28"/>
        </w:rPr>
        <w:t xml:space="preserve"> 10. ENTREVISTAS A TRAVÉS DE SESIONES DE ENFOQUE (O GRUPOS FOCALES)</w:t>
      </w:r>
      <w:r>
        <w:rPr>
          <w:rFonts w:ascii="Arial" w:hAnsi="Arial" w:cs="Arial"/>
          <w:b/>
          <w:color w:val="0070C0"/>
          <w:sz w:val="28"/>
        </w:rPr>
        <w:t>. FOCUS GROUP.</w:t>
      </w:r>
    </w:p>
    <w:p w:rsidR="00880065" w:rsidRPr="00F742C2" w:rsidRDefault="00880065" w:rsidP="00F742C2">
      <w:pPr>
        <w:pStyle w:val="Sinespaciado"/>
        <w:jc w:val="center"/>
        <w:rPr>
          <w:rFonts w:ascii="Arial" w:hAnsi="Arial" w:cs="Arial"/>
          <w:b/>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p w:rsidR="00880065" w:rsidRDefault="00880065" w:rsidP="00880065">
      <w:pPr>
        <w:jc w:val="both"/>
        <w:rPr>
          <w:rFonts w:asciiTheme="minorHAnsi" w:hAnsiTheme="minorHAns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5190"/>
      </w:tblGrid>
      <w:tr w:rsidR="0063512F" w:rsidRPr="002D06E9" w:rsidTr="009D5D60">
        <w:trPr>
          <w:trHeight w:val="434"/>
        </w:trPr>
        <w:tc>
          <w:tcPr>
            <w:tcW w:w="3298" w:type="dxa"/>
            <w:shd w:val="clear" w:color="auto" w:fill="auto"/>
          </w:tcPr>
          <w:p w:rsidR="0063512F" w:rsidRPr="002D06E9" w:rsidRDefault="0063512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Complejidad</w:t>
            </w:r>
          </w:p>
          <w:p w:rsidR="0063512F" w:rsidRPr="002D06E9" w:rsidRDefault="0063512F" w:rsidP="009D5D60">
            <w:pPr>
              <w:pStyle w:val="NormalWeb"/>
              <w:spacing w:before="120" w:beforeAutospacing="0" w:after="0" w:afterAutospacing="0"/>
              <w:jc w:val="center"/>
              <w:rPr>
                <w:rFonts w:ascii="Calibri" w:eastAsia="Times New Roman" w:hAnsi="Calibri"/>
                <w:b/>
                <w:bCs/>
                <w:color w:val="000000"/>
              </w:rPr>
            </w:pPr>
            <w:r w:rsidRPr="00A5438A">
              <w:rPr>
                <w:rFonts w:ascii="Calibri" w:eastAsia="Times New Roman" w:hAnsi="Calibri"/>
                <w:b/>
                <w:noProof/>
                <w:color w:val="000000"/>
                <w:lang w:val="es-MX" w:eastAsia="es-MX"/>
              </w:rPr>
              <w:drawing>
                <wp:inline distT="0" distB="0" distL="0" distR="0" wp14:anchorId="2AAEB467" wp14:editId="0B4BA997">
                  <wp:extent cx="247650" cy="2476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5190" w:type="dxa"/>
            <w:shd w:val="clear" w:color="auto" w:fill="auto"/>
          </w:tcPr>
          <w:p w:rsidR="0063512F" w:rsidRPr="002D06E9" w:rsidRDefault="0063512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Baja/Media</w:t>
            </w:r>
          </w:p>
        </w:tc>
      </w:tr>
      <w:tr w:rsidR="0063512F" w:rsidRPr="002D06E9" w:rsidTr="009D5D60">
        <w:tc>
          <w:tcPr>
            <w:tcW w:w="3298" w:type="dxa"/>
            <w:shd w:val="clear" w:color="auto" w:fill="auto"/>
          </w:tcPr>
          <w:p w:rsidR="0063512F" w:rsidRPr="002D06E9" w:rsidRDefault="0063512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Tiempo requerido</w:t>
            </w:r>
          </w:p>
          <w:p w:rsidR="0063512F" w:rsidRPr="002D06E9" w:rsidRDefault="0063512F" w:rsidP="009D5D60">
            <w:pPr>
              <w:pStyle w:val="NormalWeb"/>
              <w:spacing w:before="120" w:beforeAutospacing="0" w:after="0" w:afterAutospacing="0"/>
              <w:jc w:val="center"/>
              <w:rPr>
                <w:rFonts w:ascii="Calibri" w:eastAsia="Times New Roman" w:hAnsi="Calibri"/>
                <w:b/>
                <w:bCs/>
                <w:color w:val="000000"/>
              </w:rPr>
            </w:pPr>
            <w:r w:rsidRPr="00A5438A">
              <w:rPr>
                <w:rFonts w:ascii="Calibri" w:eastAsia="Times New Roman" w:hAnsi="Calibri"/>
                <w:b/>
                <w:noProof/>
                <w:color w:val="000000"/>
                <w:lang w:val="es-MX" w:eastAsia="es-MX"/>
              </w:rPr>
              <w:drawing>
                <wp:inline distT="0" distB="0" distL="0" distR="0" wp14:anchorId="70B5B4FC" wp14:editId="05ED0B0E">
                  <wp:extent cx="238125" cy="3333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333375"/>
                          </a:xfrm>
                          <a:prstGeom prst="rect">
                            <a:avLst/>
                          </a:prstGeom>
                          <a:noFill/>
                          <a:ln>
                            <a:noFill/>
                          </a:ln>
                        </pic:spPr>
                      </pic:pic>
                    </a:graphicData>
                  </a:graphic>
                </wp:inline>
              </w:drawing>
            </w:r>
          </w:p>
        </w:tc>
        <w:tc>
          <w:tcPr>
            <w:tcW w:w="5190" w:type="dxa"/>
            <w:shd w:val="clear" w:color="auto" w:fill="auto"/>
          </w:tcPr>
          <w:p w:rsidR="0063512F" w:rsidRPr="002D06E9" w:rsidRDefault="0063512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180 minutos</w:t>
            </w:r>
          </w:p>
        </w:tc>
      </w:tr>
      <w:tr w:rsidR="0063512F" w:rsidRPr="002D06E9" w:rsidTr="009D5D60">
        <w:tc>
          <w:tcPr>
            <w:tcW w:w="3298" w:type="dxa"/>
            <w:shd w:val="clear" w:color="auto" w:fill="auto"/>
          </w:tcPr>
          <w:p w:rsidR="0063512F" w:rsidRPr="002D06E9" w:rsidRDefault="0063512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Material Requerido</w:t>
            </w:r>
          </w:p>
          <w:p w:rsidR="0063512F" w:rsidRPr="002D06E9" w:rsidRDefault="0063512F" w:rsidP="009D5D60">
            <w:pPr>
              <w:pStyle w:val="NormalWeb"/>
              <w:spacing w:before="120" w:beforeAutospacing="0" w:after="0" w:afterAutospacing="0"/>
              <w:jc w:val="center"/>
              <w:rPr>
                <w:rFonts w:ascii="Calibri" w:eastAsia="Times New Roman" w:hAnsi="Calibri"/>
                <w:b/>
                <w:bCs/>
                <w:color w:val="000000"/>
              </w:rPr>
            </w:pPr>
            <w:r w:rsidRPr="00A5438A">
              <w:rPr>
                <w:rFonts w:ascii="Calibri" w:eastAsia="Times New Roman" w:hAnsi="Calibri"/>
                <w:b/>
                <w:noProof/>
                <w:color w:val="000000"/>
                <w:lang w:val="es-MX" w:eastAsia="es-MX"/>
              </w:rPr>
              <w:drawing>
                <wp:inline distT="0" distB="0" distL="0" distR="0" wp14:anchorId="71CDD3F3" wp14:editId="00491681">
                  <wp:extent cx="514350" cy="2190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14350" cy="219075"/>
                          </a:xfrm>
                          <a:prstGeom prst="rect">
                            <a:avLst/>
                          </a:prstGeom>
                          <a:noFill/>
                          <a:ln>
                            <a:noFill/>
                          </a:ln>
                        </pic:spPr>
                      </pic:pic>
                    </a:graphicData>
                  </a:graphic>
                </wp:inline>
              </w:drawing>
            </w:r>
          </w:p>
        </w:tc>
        <w:tc>
          <w:tcPr>
            <w:tcW w:w="5190" w:type="dxa"/>
            <w:shd w:val="clear" w:color="auto" w:fill="auto"/>
          </w:tcPr>
          <w:p w:rsidR="0063512F" w:rsidRPr="002D06E9" w:rsidRDefault="0063512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Plantilla</w:t>
            </w:r>
          </w:p>
          <w:p w:rsidR="0063512F" w:rsidRPr="002D06E9" w:rsidRDefault="0063512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Lápiz</w:t>
            </w:r>
          </w:p>
        </w:tc>
      </w:tr>
      <w:tr w:rsidR="0063512F" w:rsidRPr="002D06E9" w:rsidTr="009D5D60">
        <w:tc>
          <w:tcPr>
            <w:tcW w:w="3298" w:type="dxa"/>
            <w:shd w:val="clear" w:color="auto" w:fill="auto"/>
          </w:tcPr>
          <w:p w:rsidR="0063512F" w:rsidRPr="002D06E9" w:rsidRDefault="0063512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Competencias que se desarrollan a través de su aplicación</w:t>
            </w:r>
          </w:p>
        </w:tc>
        <w:tc>
          <w:tcPr>
            <w:tcW w:w="5190" w:type="dxa"/>
            <w:shd w:val="clear" w:color="auto" w:fill="auto"/>
          </w:tcPr>
          <w:p w:rsidR="0063512F" w:rsidRPr="002D06E9" w:rsidRDefault="0063512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Competencia funcional. Investigación</w:t>
            </w:r>
          </w:p>
          <w:p w:rsidR="0063512F" w:rsidRPr="002D06E9" w:rsidRDefault="0063512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 xml:space="preserve">Competencia Conductual. Comunicación </w:t>
            </w:r>
          </w:p>
          <w:p w:rsidR="0063512F" w:rsidRPr="002D06E9" w:rsidRDefault="0063512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Involucrar a la comunidad</w:t>
            </w:r>
          </w:p>
          <w:p w:rsidR="0063512F" w:rsidRPr="002D06E9" w:rsidRDefault="0063512F" w:rsidP="009D5D60">
            <w:pPr>
              <w:pStyle w:val="NormalWeb"/>
              <w:spacing w:before="120" w:beforeAutospacing="0" w:after="0" w:afterAutospacing="0"/>
              <w:jc w:val="center"/>
              <w:rPr>
                <w:rFonts w:ascii="Calibri" w:eastAsia="Times New Roman" w:hAnsi="Calibri"/>
                <w:b/>
                <w:bCs/>
                <w:color w:val="000000"/>
              </w:rPr>
            </w:pPr>
          </w:p>
        </w:tc>
      </w:tr>
      <w:tr w:rsidR="0063512F" w:rsidRPr="002D06E9" w:rsidTr="009D5D60">
        <w:tc>
          <w:tcPr>
            <w:tcW w:w="3298" w:type="dxa"/>
            <w:shd w:val="clear" w:color="auto" w:fill="auto"/>
          </w:tcPr>
          <w:p w:rsidR="0063512F" w:rsidRPr="002D06E9" w:rsidRDefault="0063512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Procesos de la Innovación en donde puede ser utilizado</w:t>
            </w:r>
          </w:p>
          <w:p w:rsidR="0063512F" w:rsidRPr="002D06E9" w:rsidRDefault="0063512F" w:rsidP="009D5D60">
            <w:pPr>
              <w:pStyle w:val="NormalWeb"/>
              <w:spacing w:before="120" w:beforeAutospacing="0" w:after="0" w:afterAutospacing="0"/>
              <w:jc w:val="center"/>
              <w:rPr>
                <w:rFonts w:ascii="Calibri" w:eastAsia="Times New Roman" w:hAnsi="Calibri"/>
                <w:b/>
                <w:bCs/>
                <w:color w:val="000000"/>
              </w:rPr>
            </w:pPr>
          </w:p>
        </w:tc>
        <w:tc>
          <w:tcPr>
            <w:tcW w:w="5190" w:type="dxa"/>
            <w:shd w:val="clear" w:color="auto" w:fill="auto"/>
          </w:tcPr>
          <w:p w:rsidR="0063512F" w:rsidRPr="002D06E9" w:rsidRDefault="0063512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Ideación</w:t>
            </w:r>
          </w:p>
          <w:p w:rsidR="0063512F" w:rsidRPr="002D06E9" w:rsidRDefault="0063512F" w:rsidP="009D5D60">
            <w:pPr>
              <w:pStyle w:val="NormalWeb"/>
              <w:spacing w:before="120" w:beforeAutospacing="0" w:after="0" w:afterAutospacing="0"/>
              <w:jc w:val="center"/>
              <w:rPr>
                <w:rFonts w:ascii="Calibri" w:eastAsia="Times New Roman" w:hAnsi="Calibri"/>
                <w:b/>
                <w:bCs/>
                <w:color w:val="000000"/>
              </w:rPr>
            </w:pPr>
            <w:proofErr w:type="spellStart"/>
            <w:r w:rsidRPr="002D06E9">
              <w:rPr>
                <w:rFonts w:ascii="Calibri" w:eastAsia="Times New Roman" w:hAnsi="Calibri"/>
                <w:b/>
                <w:bCs/>
                <w:color w:val="000000"/>
              </w:rPr>
              <w:t>Prototipado</w:t>
            </w:r>
            <w:proofErr w:type="spellEnd"/>
          </w:p>
          <w:p w:rsidR="0063512F" w:rsidRPr="002D06E9" w:rsidRDefault="0063512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Sostenibilidad</w:t>
            </w:r>
          </w:p>
          <w:p w:rsidR="0063512F" w:rsidRPr="002D06E9" w:rsidRDefault="0063512F" w:rsidP="009D5D60">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Escalado</w:t>
            </w:r>
          </w:p>
        </w:tc>
      </w:tr>
    </w:tbl>
    <w:p w:rsidR="00880065" w:rsidRDefault="00880065" w:rsidP="00880065">
      <w:pPr>
        <w:jc w:val="both"/>
        <w:rPr>
          <w:rFonts w:asciiTheme="minorHAnsi" w:hAnsiTheme="minorHAnsi"/>
          <w:color w:val="000000" w:themeColor="text1"/>
          <w:sz w:val="22"/>
          <w:szCs w:val="22"/>
        </w:rPr>
      </w:pPr>
    </w:p>
    <w:p w:rsidR="0063512F" w:rsidRDefault="0063512F" w:rsidP="00880065">
      <w:pPr>
        <w:spacing w:before="120"/>
        <w:outlineLvl w:val="0"/>
        <w:rPr>
          <w:rFonts w:asciiTheme="minorHAnsi" w:hAnsiTheme="minorHAnsi"/>
          <w:color w:val="000000" w:themeColor="text1"/>
          <w:sz w:val="22"/>
          <w:szCs w:val="22"/>
        </w:rPr>
      </w:pPr>
    </w:p>
    <w:p w:rsidR="00880065" w:rsidRPr="00F0428A" w:rsidRDefault="00880065" w:rsidP="00880065">
      <w:pPr>
        <w:spacing w:before="120"/>
        <w:outlineLvl w:val="0"/>
        <w:rPr>
          <w:rFonts w:ascii="Calibri" w:eastAsia="Calibri" w:hAnsi="Calibri" w:cs="Calibri"/>
          <w:b/>
          <w:highlight w:val="white"/>
          <w:lang w:val="en-US"/>
        </w:rPr>
      </w:pPr>
      <w:r>
        <w:rPr>
          <w:rFonts w:ascii="Calibri" w:eastAsia="Calibri" w:hAnsi="Calibri" w:cs="Calibri"/>
          <w:b/>
          <w:color w:val="4A86E8"/>
          <w:highlight w:val="white"/>
          <w:lang w:val="en-US"/>
        </w:rPr>
        <w:t>ACERCA DE LA HERRAMIENTA</w:t>
      </w:r>
    </w:p>
    <w:p w:rsidR="00880065" w:rsidRPr="0063512F" w:rsidRDefault="00880065" w:rsidP="00880065">
      <w:pPr>
        <w:jc w:val="both"/>
        <w:rPr>
          <w:rFonts w:asciiTheme="minorHAnsi" w:hAnsiTheme="minorHAnsi"/>
          <w:sz w:val="22"/>
          <w:szCs w:val="22"/>
        </w:rPr>
      </w:pPr>
    </w:p>
    <w:p w:rsidR="0063512F" w:rsidRPr="0063512F" w:rsidRDefault="0063512F" w:rsidP="0063512F">
      <w:pPr>
        <w:spacing w:line="276" w:lineRule="auto"/>
        <w:jc w:val="both"/>
        <w:rPr>
          <w:rFonts w:asciiTheme="minorHAnsi" w:hAnsiTheme="minorHAnsi"/>
          <w:color w:val="000000"/>
          <w:sz w:val="22"/>
          <w:szCs w:val="22"/>
        </w:rPr>
      </w:pPr>
      <w:r w:rsidRPr="0063512F">
        <w:rPr>
          <w:rFonts w:asciiTheme="minorHAnsi" w:hAnsiTheme="minorHAnsi"/>
          <w:color w:val="000000"/>
          <w:sz w:val="22"/>
          <w:szCs w:val="22"/>
        </w:rPr>
        <w:t xml:space="preserve">La historia de las sesiones de enfoque o grupos focales comenzó en 1937 en la Oficina de Radio de la Universidad de Princeton. La investigación original se centró en los medios y mensajes, como las películas de propaganda bélica. En la actualidad, los grupos focales todavía se usan para evaluar los mensajes y la publicidad, así como también los estudios cualitativos, con el objetivo de descubrir creencias, opiniones y puntos de vista personales sobre un tema elegido. En la innovación social y el diseño </w:t>
      </w:r>
      <w:proofErr w:type="spellStart"/>
      <w:r w:rsidRPr="0063512F">
        <w:rPr>
          <w:rFonts w:asciiTheme="minorHAnsi" w:hAnsiTheme="minorHAnsi"/>
          <w:color w:val="000000"/>
          <w:sz w:val="22"/>
          <w:szCs w:val="22"/>
        </w:rPr>
        <w:t>co</w:t>
      </w:r>
      <w:proofErr w:type="spellEnd"/>
      <w:r w:rsidRPr="0063512F">
        <w:rPr>
          <w:rFonts w:asciiTheme="minorHAnsi" w:hAnsiTheme="minorHAnsi"/>
          <w:color w:val="000000"/>
          <w:sz w:val="22"/>
          <w:szCs w:val="22"/>
        </w:rPr>
        <w:t>-creativo, los procesos pueden ser pensados como una herramienta para conocer las ideas y actitudes de los participantes iniciales hacia un servicio, concepto o propuesta.</w:t>
      </w:r>
    </w:p>
    <w:p w:rsidR="00880065" w:rsidRDefault="00880065" w:rsidP="00880065">
      <w:pPr>
        <w:jc w:val="both"/>
        <w:rPr>
          <w:rFonts w:asciiTheme="minorHAnsi" w:hAnsiTheme="minorHAnsi"/>
          <w:color w:val="000000"/>
          <w:sz w:val="22"/>
          <w:szCs w:val="22"/>
        </w:rPr>
      </w:pPr>
    </w:p>
    <w:p w:rsidR="0063512F" w:rsidRPr="001171DA" w:rsidRDefault="00880065" w:rsidP="00880065">
      <w:pPr>
        <w:spacing w:before="120"/>
        <w:outlineLvl w:val="0"/>
        <w:rPr>
          <w:rFonts w:ascii="Calibri" w:eastAsia="Calibri" w:hAnsi="Calibri" w:cs="Calibri"/>
          <w:b/>
          <w:color w:val="4A86E8"/>
          <w:highlight w:val="white"/>
        </w:rPr>
      </w:pPr>
      <w:r w:rsidRPr="001171DA">
        <w:rPr>
          <w:rFonts w:ascii="Calibri" w:eastAsia="Calibri" w:hAnsi="Calibri" w:cs="Calibri"/>
          <w:b/>
          <w:color w:val="4A86E8"/>
          <w:highlight w:val="white"/>
        </w:rPr>
        <w:lastRenderedPageBreak/>
        <w:t>OBJETIVO</w:t>
      </w:r>
    </w:p>
    <w:p w:rsidR="0063512F" w:rsidRPr="0063512F" w:rsidRDefault="0063512F" w:rsidP="0063512F">
      <w:pPr>
        <w:spacing w:before="120"/>
        <w:jc w:val="both"/>
        <w:rPr>
          <w:rFonts w:ascii="Calibri" w:eastAsia="Calibri" w:hAnsi="Calibri" w:cs="Calibri"/>
          <w:color w:val="000000" w:themeColor="text1"/>
          <w:sz w:val="22"/>
          <w:szCs w:val="22"/>
          <w:highlight w:val="white"/>
        </w:rPr>
      </w:pPr>
      <w:r w:rsidRPr="0063512F">
        <w:rPr>
          <w:rFonts w:ascii="Calibri" w:eastAsia="Calibri" w:hAnsi="Calibri" w:cs="Calibri"/>
          <w:color w:val="000000" w:themeColor="text1"/>
          <w:sz w:val="22"/>
          <w:szCs w:val="22"/>
          <w:highlight w:val="white"/>
        </w:rPr>
        <w:t>Esta herramienta es ideal para los “agentes” que tienen como objetivo comprender e investigar una realidad específica antes de implementar un proyecto de innovación social. Se pueden establecer tres objetivos:</w:t>
      </w:r>
    </w:p>
    <w:p w:rsidR="0063512F" w:rsidRPr="0063512F" w:rsidRDefault="0063512F" w:rsidP="0063512F">
      <w:pPr>
        <w:spacing w:before="120"/>
        <w:jc w:val="both"/>
        <w:rPr>
          <w:rFonts w:ascii="Calibri" w:eastAsia="Calibri" w:hAnsi="Calibri" w:cs="Calibri"/>
          <w:color w:val="000000" w:themeColor="text1"/>
          <w:sz w:val="22"/>
          <w:szCs w:val="22"/>
          <w:highlight w:val="white"/>
        </w:rPr>
      </w:pPr>
      <w:r w:rsidRPr="0063512F">
        <w:rPr>
          <w:rFonts w:ascii="Calibri" w:eastAsia="Calibri" w:hAnsi="Calibri" w:cs="Calibri"/>
          <w:color w:val="000000" w:themeColor="text1"/>
          <w:sz w:val="22"/>
          <w:szCs w:val="22"/>
          <w:highlight w:val="white"/>
        </w:rPr>
        <w:t>1) Obtener las percepciones, creencias, opiniones y puntos de vista de los participantes en un área de interés definida en un entorno sin prejuicios.</w:t>
      </w:r>
    </w:p>
    <w:p w:rsidR="0063512F" w:rsidRPr="0063512F" w:rsidRDefault="0063512F" w:rsidP="0063512F">
      <w:pPr>
        <w:spacing w:before="120"/>
        <w:jc w:val="both"/>
        <w:rPr>
          <w:rFonts w:ascii="Calibri" w:eastAsia="Calibri" w:hAnsi="Calibri" w:cs="Calibri"/>
          <w:color w:val="000000" w:themeColor="text1"/>
          <w:sz w:val="22"/>
          <w:szCs w:val="22"/>
          <w:highlight w:val="white"/>
        </w:rPr>
      </w:pPr>
      <w:r w:rsidRPr="0063512F">
        <w:rPr>
          <w:rFonts w:ascii="Calibri" w:eastAsia="Calibri" w:hAnsi="Calibri" w:cs="Calibri"/>
          <w:color w:val="000000" w:themeColor="text1"/>
          <w:sz w:val="22"/>
          <w:szCs w:val="22"/>
          <w:highlight w:val="white"/>
        </w:rPr>
        <w:t>2) Involucrar a los actores y facilitar su participación en el proyecto. Permite que surjan nuevas ideas del diálogo y el intercambio entre los participantes. Sirve de base a la propuesta de innovación, ya que permite el desarrollo colectivo de escenarios futuros.</w:t>
      </w:r>
    </w:p>
    <w:p w:rsidR="00880065" w:rsidRDefault="00880065" w:rsidP="00880065">
      <w:pPr>
        <w:rPr>
          <w:rFonts w:eastAsia="Times New Roman"/>
        </w:rPr>
      </w:pPr>
    </w:p>
    <w:p w:rsidR="00880065" w:rsidRDefault="00880065" w:rsidP="00880065">
      <w:pPr>
        <w:spacing w:before="120"/>
        <w:outlineLvl w:val="0"/>
        <w:rPr>
          <w:rFonts w:ascii="Calibri" w:eastAsia="Calibri" w:hAnsi="Calibri" w:cs="Calibri"/>
          <w:b/>
          <w:color w:val="4A86E8"/>
          <w:highlight w:val="white"/>
          <w:lang w:val="es-MX"/>
        </w:rPr>
      </w:pPr>
      <w:r w:rsidRPr="0063512F">
        <w:rPr>
          <w:rFonts w:ascii="Calibri" w:eastAsia="Calibri" w:hAnsi="Calibri" w:cs="Calibri"/>
          <w:b/>
          <w:color w:val="4A86E8"/>
          <w:highlight w:val="white"/>
          <w:lang w:val="es-MX"/>
        </w:rPr>
        <w:t>PASOS</w:t>
      </w:r>
    </w:p>
    <w:p w:rsidR="0063512F" w:rsidRPr="0063512F" w:rsidRDefault="0063512F" w:rsidP="00880065">
      <w:pPr>
        <w:spacing w:before="120"/>
        <w:outlineLvl w:val="0"/>
        <w:rPr>
          <w:rFonts w:ascii="Calibri" w:eastAsia="Calibri" w:hAnsi="Calibri" w:cs="Calibri"/>
          <w:b/>
          <w:color w:val="4A86E8"/>
          <w:highlight w:val="white"/>
          <w:lang w:val="es-MX"/>
        </w:rPr>
      </w:pPr>
    </w:p>
    <w:p w:rsidR="0063512F" w:rsidRPr="0063512F" w:rsidRDefault="0063512F" w:rsidP="0063512F">
      <w:pPr>
        <w:spacing w:line="276" w:lineRule="auto"/>
        <w:jc w:val="both"/>
        <w:rPr>
          <w:rFonts w:asciiTheme="minorHAnsi" w:hAnsiTheme="minorHAnsi"/>
          <w:color w:val="000000"/>
          <w:sz w:val="22"/>
          <w:szCs w:val="22"/>
        </w:rPr>
      </w:pPr>
      <w:r w:rsidRPr="0063512F">
        <w:rPr>
          <w:rFonts w:asciiTheme="minorHAnsi" w:hAnsiTheme="minorHAnsi"/>
          <w:color w:val="000000"/>
          <w:sz w:val="22"/>
          <w:szCs w:val="22"/>
        </w:rPr>
        <w:t>La aplicación de la herramienta consiste en la organización de una discusión grupal, idealmente con 6 a 10 participantes seleccionados a propósito, con igual representación de género y homogénea en términos de edad. Todas las demás características de los participantes permitirán un muestreo heterogéneo, para tener mayores posibilidades de divergencia de opiniones y, por lo tanto, una mejor construcción del diálogo.</w:t>
      </w:r>
    </w:p>
    <w:p w:rsidR="0063512F" w:rsidRPr="0063512F" w:rsidRDefault="0063512F" w:rsidP="0063512F">
      <w:pPr>
        <w:spacing w:line="276" w:lineRule="auto"/>
        <w:jc w:val="both"/>
        <w:rPr>
          <w:rFonts w:asciiTheme="minorHAnsi" w:hAnsiTheme="minorHAnsi"/>
          <w:color w:val="000000"/>
          <w:sz w:val="22"/>
          <w:szCs w:val="22"/>
        </w:rPr>
      </w:pPr>
    </w:p>
    <w:p w:rsidR="0063512F" w:rsidRPr="0063512F" w:rsidRDefault="0063512F" w:rsidP="0063512F">
      <w:pPr>
        <w:spacing w:line="276" w:lineRule="auto"/>
        <w:jc w:val="both"/>
        <w:rPr>
          <w:rFonts w:asciiTheme="minorHAnsi" w:hAnsiTheme="minorHAnsi"/>
          <w:color w:val="000000"/>
          <w:sz w:val="22"/>
          <w:szCs w:val="22"/>
        </w:rPr>
      </w:pPr>
      <w:r w:rsidRPr="0063512F">
        <w:rPr>
          <w:rFonts w:asciiTheme="minorHAnsi" w:hAnsiTheme="minorHAnsi"/>
          <w:color w:val="000000"/>
          <w:sz w:val="22"/>
          <w:szCs w:val="22"/>
        </w:rPr>
        <w:t>El mediador propone una actividad de calentamiento para comenzar la discusión, que puede ser una pregunta o un material visual (imagen, video, póster, etc.) o una grabación de audio.</w:t>
      </w:r>
    </w:p>
    <w:p w:rsidR="0063512F" w:rsidRPr="0063512F" w:rsidRDefault="0063512F" w:rsidP="0063512F">
      <w:pPr>
        <w:spacing w:line="276" w:lineRule="auto"/>
        <w:jc w:val="both"/>
        <w:rPr>
          <w:rFonts w:asciiTheme="minorHAnsi" w:hAnsiTheme="minorHAnsi"/>
          <w:color w:val="000000"/>
          <w:sz w:val="22"/>
          <w:szCs w:val="22"/>
        </w:rPr>
      </w:pPr>
      <w:r w:rsidRPr="0063512F">
        <w:rPr>
          <w:rFonts w:asciiTheme="minorHAnsi" w:hAnsiTheme="minorHAnsi"/>
          <w:color w:val="000000"/>
          <w:sz w:val="22"/>
          <w:szCs w:val="22"/>
        </w:rPr>
        <w:t>Cada sesión de grupo de enfoque no debe durar más de 1½ horas. Por lo tanto, después de la actividad de calentamiento, el mediador solo tendrá tiempo para cuatro o cinco preguntas más.</w:t>
      </w:r>
    </w:p>
    <w:p w:rsidR="0063512F" w:rsidRPr="0063512F" w:rsidRDefault="0063512F" w:rsidP="0063512F">
      <w:pPr>
        <w:spacing w:line="276" w:lineRule="auto"/>
        <w:jc w:val="both"/>
        <w:rPr>
          <w:rFonts w:asciiTheme="minorHAnsi" w:hAnsiTheme="minorHAnsi"/>
          <w:color w:val="000000"/>
          <w:sz w:val="22"/>
          <w:szCs w:val="22"/>
        </w:rPr>
      </w:pPr>
      <w:r w:rsidRPr="0063512F">
        <w:rPr>
          <w:rFonts w:asciiTheme="minorHAnsi" w:hAnsiTheme="minorHAnsi"/>
          <w:color w:val="000000"/>
          <w:sz w:val="22"/>
          <w:szCs w:val="22"/>
        </w:rPr>
        <w:t>A medida que los participantes llegan, el mediador establece el tono para una discusión cómoda, siguiendo el guion que ha preparado, y gestiona la dinámica del grupo teniendo en cuenta el objetivo del grupo de enfoque.</w:t>
      </w:r>
    </w:p>
    <w:p w:rsidR="00880065" w:rsidRDefault="00880065" w:rsidP="00880065">
      <w:pPr>
        <w:jc w:val="both"/>
        <w:rPr>
          <w:rFonts w:asciiTheme="minorHAnsi" w:hAnsiTheme="minorHAnsi"/>
          <w:sz w:val="22"/>
          <w:szCs w:val="22"/>
        </w:rPr>
      </w:pPr>
    </w:p>
    <w:p w:rsidR="00880065" w:rsidRDefault="00880065" w:rsidP="00880065">
      <w:pPr>
        <w:spacing w:before="120"/>
        <w:outlineLvl w:val="0"/>
        <w:rPr>
          <w:rFonts w:ascii="Calibri" w:eastAsia="Calibri" w:hAnsi="Calibri" w:cs="Calibri"/>
          <w:b/>
          <w:color w:val="4A86E8"/>
          <w:highlight w:val="white"/>
        </w:rPr>
      </w:pPr>
      <w:r>
        <w:rPr>
          <w:rFonts w:ascii="Calibri" w:eastAsia="Calibri" w:hAnsi="Calibri" w:cs="Calibri"/>
          <w:b/>
          <w:color w:val="4A86E8"/>
          <w:highlight w:val="white"/>
        </w:rPr>
        <w:t>CONSEJOS</w:t>
      </w:r>
    </w:p>
    <w:p w:rsidR="0063512F" w:rsidRDefault="0063512F" w:rsidP="00880065">
      <w:pPr>
        <w:spacing w:before="120"/>
        <w:outlineLvl w:val="0"/>
        <w:rPr>
          <w:rFonts w:ascii="Calibri" w:eastAsia="Calibri" w:hAnsi="Calibri" w:cs="Calibri"/>
          <w:b/>
          <w:color w:val="4A86E8"/>
          <w:highlight w:val="white"/>
        </w:rPr>
      </w:pPr>
    </w:p>
    <w:p w:rsidR="0063512F" w:rsidRPr="0063512F" w:rsidRDefault="0063512F" w:rsidP="0063512F">
      <w:pPr>
        <w:spacing w:line="276" w:lineRule="auto"/>
        <w:jc w:val="both"/>
        <w:rPr>
          <w:rFonts w:asciiTheme="minorHAnsi" w:hAnsiTheme="minorHAnsi"/>
          <w:color w:val="000000"/>
          <w:sz w:val="22"/>
          <w:szCs w:val="22"/>
        </w:rPr>
      </w:pPr>
      <w:r w:rsidRPr="0063512F">
        <w:rPr>
          <w:rFonts w:asciiTheme="minorHAnsi" w:hAnsiTheme="minorHAnsi"/>
          <w:color w:val="000000"/>
          <w:sz w:val="22"/>
          <w:szCs w:val="22"/>
        </w:rPr>
        <w:t>Algunos consejos se enumeran a continuación para respaldar la aplicación de la sesión de enfoque:</w:t>
      </w:r>
    </w:p>
    <w:p w:rsidR="0063512F" w:rsidRPr="0063512F" w:rsidRDefault="0063512F" w:rsidP="0063512F">
      <w:pPr>
        <w:spacing w:line="276" w:lineRule="auto"/>
        <w:jc w:val="both"/>
        <w:rPr>
          <w:rFonts w:asciiTheme="minorHAnsi" w:hAnsiTheme="minorHAnsi"/>
          <w:color w:val="000000"/>
          <w:sz w:val="22"/>
          <w:szCs w:val="22"/>
        </w:rPr>
      </w:pPr>
      <w:r w:rsidRPr="0063512F">
        <w:rPr>
          <w:rFonts w:asciiTheme="minorHAnsi" w:hAnsiTheme="minorHAnsi"/>
          <w:color w:val="000000"/>
          <w:sz w:val="22"/>
          <w:szCs w:val="22"/>
        </w:rPr>
        <w:t>- Considere previamente las características generales que desea que sus participantes tengan y seleccione los participantes de acuerdo con sus criterios.</w:t>
      </w:r>
    </w:p>
    <w:p w:rsidR="0063512F" w:rsidRPr="0063512F" w:rsidRDefault="0063512F" w:rsidP="0063512F">
      <w:pPr>
        <w:spacing w:line="276" w:lineRule="auto"/>
        <w:jc w:val="both"/>
        <w:rPr>
          <w:rFonts w:asciiTheme="minorHAnsi" w:hAnsiTheme="minorHAnsi"/>
          <w:color w:val="000000"/>
          <w:sz w:val="22"/>
          <w:szCs w:val="22"/>
        </w:rPr>
      </w:pPr>
      <w:r w:rsidRPr="0063512F">
        <w:rPr>
          <w:rFonts w:asciiTheme="minorHAnsi" w:hAnsiTheme="minorHAnsi"/>
          <w:color w:val="000000"/>
          <w:sz w:val="22"/>
          <w:szCs w:val="22"/>
        </w:rPr>
        <w:t>- Elegir una actividad inicial de calentamiento para involucrar a los participantes a partir de su experiencia.</w:t>
      </w:r>
    </w:p>
    <w:p w:rsidR="0063512F" w:rsidRPr="0063512F" w:rsidRDefault="0063512F" w:rsidP="0063512F">
      <w:pPr>
        <w:spacing w:line="276" w:lineRule="auto"/>
        <w:jc w:val="both"/>
        <w:rPr>
          <w:rFonts w:asciiTheme="minorHAnsi" w:hAnsiTheme="minorHAnsi"/>
          <w:color w:val="000000"/>
          <w:sz w:val="22"/>
          <w:szCs w:val="22"/>
        </w:rPr>
      </w:pPr>
      <w:r w:rsidRPr="0063512F">
        <w:rPr>
          <w:rFonts w:asciiTheme="minorHAnsi" w:hAnsiTheme="minorHAnsi"/>
          <w:color w:val="000000"/>
          <w:sz w:val="22"/>
          <w:szCs w:val="22"/>
        </w:rPr>
        <w:t>- Elabore una lista de preguntas (cuatro o cinco) y asegúrese de que sean útiles de acuerdo con el objetivo propuesto. Antes de usar las preguntas en una sesión de enfoque real, pruébelas.</w:t>
      </w:r>
    </w:p>
    <w:p w:rsidR="0063512F" w:rsidRPr="0063512F" w:rsidRDefault="0063512F" w:rsidP="0063512F">
      <w:pPr>
        <w:spacing w:line="276" w:lineRule="auto"/>
        <w:jc w:val="both"/>
        <w:rPr>
          <w:rFonts w:asciiTheme="minorHAnsi" w:hAnsiTheme="minorHAnsi"/>
          <w:color w:val="000000"/>
          <w:sz w:val="22"/>
          <w:szCs w:val="22"/>
        </w:rPr>
      </w:pPr>
      <w:r w:rsidRPr="0063512F">
        <w:rPr>
          <w:rFonts w:asciiTheme="minorHAnsi" w:hAnsiTheme="minorHAnsi"/>
          <w:color w:val="000000"/>
          <w:sz w:val="22"/>
          <w:szCs w:val="22"/>
        </w:rPr>
        <w:t>- Siempre use preguntas abiertas; evite preguntas que pueden responderse como sí o no; establezca un ritmo de conversación que vaya de lo general a lo específico; use preguntas de "reflexión" para llevar a las personas a una experiencia.</w:t>
      </w:r>
    </w:p>
    <w:p w:rsidR="0063512F" w:rsidRPr="0063512F" w:rsidRDefault="0063512F" w:rsidP="0063512F">
      <w:pPr>
        <w:spacing w:line="276" w:lineRule="auto"/>
        <w:jc w:val="both"/>
        <w:rPr>
          <w:rFonts w:asciiTheme="minorHAnsi" w:hAnsiTheme="minorHAnsi"/>
          <w:color w:val="000000"/>
          <w:sz w:val="22"/>
          <w:szCs w:val="22"/>
        </w:rPr>
      </w:pPr>
      <w:r w:rsidRPr="0063512F">
        <w:rPr>
          <w:rFonts w:asciiTheme="minorHAnsi" w:hAnsiTheme="minorHAnsi"/>
          <w:color w:val="000000"/>
          <w:sz w:val="22"/>
          <w:szCs w:val="22"/>
        </w:rPr>
        <w:t>- Considere formas de involucrar a todos los participantes, usando preguntas como: "¿Hay otras formas de ver esto?", "¿Quién más tiene una idea?", "Déjame ver si te entiendo (parafrasea un comentario)".</w:t>
      </w:r>
    </w:p>
    <w:p w:rsidR="0063512F" w:rsidRPr="0063512F" w:rsidRDefault="0063512F" w:rsidP="0063512F">
      <w:pPr>
        <w:spacing w:line="276" w:lineRule="auto"/>
        <w:jc w:val="both"/>
        <w:rPr>
          <w:rFonts w:asciiTheme="minorHAnsi" w:hAnsiTheme="minorHAnsi"/>
          <w:color w:val="000000"/>
          <w:sz w:val="22"/>
          <w:szCs w:val="22"/>
        </w:rPr>
      </w:pPr>
      <w:r w:rsidRPr="0063512F">
        <w:rPr>
          <w:rFonts w:asciiTheme="minorHAnsi" w:hAnsiTheme="minorHAnsi"/>
          <w:color w:val="000000"/>
          <w:sz w:val="22"/>
          <w:szCs w:val="22"/>
        </w:rPr>
        <w:t>- Tome en cuenta la pluralidad de ideas y opiniones para intercambiar, asegurándose de que cada participante se sienta a gusto para expresar su punto de vista.</w:t>
      </w:r>
    </w:p>
    <w:p w:rsidR="0063512F" w:rsidRPr="0063512F" w:rsidRDefault="0063512F" w:rsidP="0063512F">
      <w:pPr>
        <w:spacing w:line="276" w:lineRule="auto"/>
        <w:jc w:val="both"/>
        <w:rPr>
          <w:rFonts w:asciiTheme="minorHAnsi" w:hAnsiTheme="minorHAnsi"/>
          <w:color w:val="000000"/>
          <w:sz w:val="22"/>
          <w:szCs w:val="22"/>
        </w:rPr>
      </w:pPr>
      <w:r w:rsidRPr="0063512F">
        <w:rPr>
          <w:rFonts w:asciiTheme="minorHAnsi" w:hAnsiTheme="minorHAnsi"/>
          <w:color w:val="000000"/>
          <w:sz w:val="22"/>
          <w:szCs w:val="22"/>
        </w:rPr>
        <w:t>- Seleccione un espacio familiar, cómodo y silencioso, donde nadie interrumpa el proceso de la sesión de enfoque. Es importante mantener el ritmo de la conversación de forma fluida.</w:t>
      </w:r>
    </w:p>
    <w:p w:rsidR="00880065" w:rsidRPr="0063512F" w:rsidRDefault="00880065" w:rsidP="0063512F">
      <w:pPr>
        <w:spacing w:line="276" w:lineRule="auto"/>
        <w:jc w:val="both"/>
        <w:rPr>
          <w:rFonts w:asciiTheme="minorHAnsi" w:hAnsiTheme="minorHAnsi"/>
          <w:color w:val="000000"/>
          <w:sz w:val="22"/>
          <w:szCs w:val="22"/>
        </w:rPr>
      </w:pPr>
      <w:r w:rsidRPr="0063512F">
        <w:rPr>
          <w:rFonts w:asciiTheme="minorHAnsi" w:hAnsiTheme="minorHAnsi"/>
          <w:color w:val="000000"/>
          <w:sz w:val="22"/>
          <w:szCs w:val="22"/>
        </w:rPr>
        <w:t xml:space="preserve"> </w:t>
      </w:r>
    </w:p>
    <w:p w:rsidR="00880065" w:rsidRPr="000A2CBD" w:rsidRDefault="00880065" w:rsidP="00880065">
      <w:pPr>
        <w:pStyle w:val="Prrafodelista"/>
        <w:spacing w:before="120"/>
        <w:jc w:val="both"/>
        <w:rPr>
          <w:rFonts w:ascii="Calibri" w:eastAsia="Calibri" w:hAnsi="Calibri" w:cs="Calibri"/>
          <w:color w:val="000000" w:themeColor="text1"/>
          <w:sz w:val="22"/>
          <w:szCs w:val="22"/>
          <w:highlight w:val="white"/>
        </w:rPr>
      </w:pPr>
    </w:p>
    <w:p w:rsidR="00880065" w:rsidRDefault="00880065" w:rsidP="00880065">
      <w:pPr>
        <w:spacing w:before="120"/>
        <w:outlineLvl w:val="0"/>
        <w:rPr>
          <w:rFonts w:ascii="Calibri" w:eastAsia="Calibri" w:hAnsi="Calibri" w:cs="Calibri"/>
          <w:b/>
          <w:color w:val="4A86E8"/>
          <w:highlight w:val="white"/>
        </w:rPr>
      </w:pPr>
      <w:r w:rsidRPr="000257A7">
        <w:rPr>
          <w:rFonts w:ascii="Calibri" w:eastAsia="Calibri" w:hAnsi="Calibri" w:cs="Calibri"/>
          <w:b/>
          <w:color w:val="4A86E8"/>
          <w:highlight w:val="white"/>
        </w:rPr>
        <w:t>ESQUEMA VISUAL</w:t>
      </w:r>
    </w:p>
    <w:p w:rsidR="00880065" w:rsidRDefault="0063512F" w:rsidP="0063512F">
      <w:pPr>
        <w:spacing w:before="120"/>
        <w:jc w:val="center"/>
        <w:rPr>
          <w:rFonts w:ascii="Calibri" w:eastAsia="Calibri" w:hAnsi="Calibri" w:cs="Calibri"/>
          <w:b/>
          <w:color w:val="4A86E8"/>
          <w:highlight w:val="white"/>
        </w:rPr>
      </w:pPr>
      <w:r w:rsidRPr="00A5438A">
        <w:rPr>
          <w:rFonts w:ascii="Calibri" w:eastAsia="Calibri" w:hAnsi="Calibri" w:cs="Calibri"/>
          <w:noProof/>
          <w:lang w:eastAsia="es-MX"/>
        </w:rPr>
        <w:drawing>
          <wp:inline distT="0" distB="0" distL="0" distR="0" wp14:anchorId="727241BB" wp14:editId="245095F3">
            <wp:extent cx="3774440" cy="2128520"/>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4440" cy="2128520"/>
                    </a:xfrm>
                    <a:prstGeom prst="rect">
                      <a:avLst/>
                    </a:prstGeom>
                    <a:noFill/>
                    <a:ln>
                      <a:noFill/>
                    </a:ln>
                  </pic:spPr>
                </pic:pic>
              </a:graphicData>
            </a:graphic>
          </wp:inline>
        </w:drawing>
      </w:r>
    </w:p>
    <w:p w:rsidR="00880065" w:rsidRPr="00CB393F" w:rsidRDefault="00880065" w:rsidP="0063512F">
      <w:pPr>
        <w:pStyle w:val="NormalWeb"/>
        <w:spacing w:before="120" w:beforeAutospacing="0" w:after="0" w:afterAutospacing="0"/>
        <w:jc w:val="center"/>
        <w:outlineLvl w:val="0"/>
        <w:rPr>
          <w:rFonts w:asciiTheme="minorHAnsi" w:hAnsiTheme="minorHAnsi"/>
          <w:bCs/>
          <w:color w:val="4A86E8"/>
          <w:sz w:val="20"/>
          <w:szCs w:val="20"/>
          <w:shd w:val="clear" w:color="auto" w:fill="FFFFFF"/>
        </w:rPr>
      </w:pPr>
      <w:r w:rsidRPr="00CB393F">
        <w:rPr>
          <w:rFonts w:asciiTheme="minorHAnsi" w:hAnsiTheme="minorHAnsi"/>
          <w:bCs/>
          <w:color w:val="4A86E8"/>
          <w:sz w:val="20"/>
          <w:szCs w:val="20"/>
          <w:shd w:val="clear" w:color="auto" w:fill="FFFFFF"/>
        </w:rPr>
        <w:t>Fuente. Students4Change</w:t>
      </w:r>
    </w:p>
    <w:p w:rsidR="00880065" w:rsidRPr="00187662" w:rsidRDefault="00880065" w:rsidP="00880065">
      <w:pPr>
        <w:spacing w:before="120"/>
        <w:rPr>
          <w:rFonts w:ascii="Calibri" w:eastAsia="Calibri" w:hAnsi="Calibri" w:cs="Calibri"/>
          <w:b/>
          <w:color w:val="4A86E8"/>
          <w:highlight w:val="white"/>
          <w:lang w:val="en-US"/>
        </w:rPr>
      </w:pPr>
    </w:p>
    <w:p w:rsidR="00880065" w:rsidRDefault="00880065" w:rsidP="00880065">
      <w:pPr>
        <w:spacing w:before="120"/>
        <w:outlineLvl w:val="0"/>
        <w:rPr>
          <w:rFonts w:ascii="Calibri" w:eastAsia="Calibri" w:hAnsi="Calibri" w:cs="Calibri"/>
          <w:b/>
          <w:color w:val="4A86E8"/>
          <w:highlight w:val="white"/>
          <w:lang w:val="en-US"/>
        </w:rPr>
      </w:pPr>
      <w:r w:rsidRPr="00187662">
        <w:rPr>
          <w:rFonts w:ascii="Calibri" w:eastAsia="Calibri" w:hAnsi="Calibri" w:cs="Calibri"/>
          <w:b/>
          <w:color w:val="4A86E8"/>
          <w:highlight w:val="white"/>
          <w:lang w:val="en-US"/>
        </w:rPr>
        <w:t>DESCARGAR PLANTILLA</w:t>
      </w:r>
    </w:p>
    <w:p w:rsidR="00880065" w:rsidRPr="00187662" w:rsidRDefault="00880065" w:rsidP="00880065">
      <w:pPr>
        <w:spacing w:before="120"/>
        <w:outlineLvl w:val="0"/>
        <w:rPr>
          <w:rFonts w:ascii="Calibri" w:eastAsia="Calibri" w:hAnsi="Calibri" w:cs="Calibri"/>
          <w:b/>
          <w:color w:val="4A86E8"/>
          <w:highlight w:val="white"/>
          <w:lang w:val="en-US"/>
        </w:rPr>
      </w:pPr>
    </w:p>
    <w:p w:rsidR="00880065" w:rsidRPr="000A2CBD" w:rsidRDefault="00880065" w:rsidP="00880065">
      <w:pPr>
        <w:spacing w:before="120"/>
        <w:outlineLvl w:val="0"/>
        <w:rPr>
          <w:rFonts w:ascii="Calibri" w:eastAsia="Calibri" w:hAnsi="Calibri" w:cs="Calibri"/>
          <w:b/>
          <w:color w:val="4A86E8"/>
          <w:highlight w:val="white"/>
          <w:lang w:val="en-US"/>
        </w:rPr>
      </w:pPr>
      <w:r w:rsidRPr="000A2CBD">
        <w:rPr>
          <w:rFonts w:ascii="Calibri" w:eastAsia="Calibri" w:hAnsi="Calibri" w:cs="Calibri"/>
          <w:b/>
          <w:color w:val="4A86E8"/>
          <w:highlight w:val="white"/>
          <w:lang w:val="en-US"/>
        </w:rPr>
        <w:t>REFERENCIAS</w:t>
      </w:r>
    </w:p>
    <w:p w:rsidR="00880065" w:rsidRPr="001171DA" w:rsidRDefault="00880065" w:rsidP="00880065">
      <w:pPr>
        <w:spacing w:before="120"/>
        <w:rPr>
          <w:rFonts w:ascii="Calibri" w:eastAsia="Calibri" w:hAnsi="Calibri" w:cs="Calibri"/>
          <w:b/>
          <w:color w:val="4A86E8"/>
          <w:highlight w:val="white"/>
          <w:lang w:val="en-US"/>
        </w:rPr>
      </w:pPr>
    </w:p>
    <w:p w:rsidR="0063512F" w:rsidRPr="0063512F" w:rsidRDefault="0063512F" w:rsidP="0063512F">
      <w:pPr>
        <w:spacing w:line="276" w:lineRule="auto"/>
        <w:jc w:val="both"/>
        <w:rPr>
          <w:rFonts w:asciiTheme="minorHAnsi" w:hAnsiTheme="minorHAnsi"/>
          <w:color w:val="000000"/>
          <w:sz w:val="22"/>
          <w:szCs w:val="22"/>
        </w:rPr>
      </w:pPr>
      <w:r w:rsidRPr="0063512F">
        <w:rPr>
          <w:rFonts w:asciiTheme="minorHAnsi" w:hAnsiTheme="minorHAnsi"/>
          <w:color w:val="000000"/>
          <w:sz w:val="22"/>
          <w:szCs w:val="22"/>
        </w:rPr>
        <w:t xml:space="preserve">Andrade M.; Amorim, V. (2010). Grupo focal: a pesquisa com foco em interação dos sujeitos. In: Marcondes, M. I., Teixeira, E., Oliveira, I. (org.). Metodologias e Técnicas de Pesquisa em Educação. </w:t>
      </w:r>
      <w:proofErr w:type="spellStart"/>
      <w:r w:rsidRPr="0063512F">
        <w:rPr>
          <w:rFonts w:asciiTheme="minorHAnsi" w:hAnsiTheme="minorHAnsi"/>
          <w:color w:val="000000"/>
          <w:sz w:val="22"/>
          <w:szCs w:val="22"/>
        </w:rPr>
        <w:t>Belém</w:t>
      </w:r>
      <w:proofErr w:type="spellEnd"/>
      <w:r w:rsidRPr="0063512F">
        <w:rPr>
          <w:rFonts w:asciiTheme="minorHAnsi" w:hAnsiTheme="minorHAnsi"/>
          <w:color w:val="000000"/>
          <w:sz w:val="22"/>
          <w:szCs w:val="22"/>
        </w:rPr>
        <w:t>: UEPA.</w:t>
      </w:r>
    </w:p>
    <w:p w:rsidR="0063512F" w:rsidRPr="0063512F" w:rsidRDefault="0063512F" w:rsidP="0063512F">
      <w:pPr>
        <w:spacing w:line="276" w:lineRule="auto"/>
        <w:jc w:val="both"/>
        <w:rPr>
          <w:rFonts w:asciiTheme="minorHAnsi" w:hAnsiTheme="minorHAnsi"/>
          <w:color w:val="000000"/>
          <w:sz w:val="22"/>
          <w:szCs w:val="22"/>
        </w:rPr>
      </w:pPr>
      <w:r w:rsidRPr="0063512F">
        <w:rPr>
          <w:rFonts w:asciiTheme="minorHAnsi" w:hAnsiTheme="minorHAnsi"/>
          <w:color w:val="000000"/>
          <w:sz w:val="22"/>
          <w:szCs w:val="22"/>
        </w:rPr>
        <w:t>Barbour, R., (2007). Doing Focus Groups. Thousand Oaks, CA: Sage Publications.</w:t>
      </w:r>
    </w:p>
    <w:p w:rsidR="0063512F" w:rsidRPr="0063512F" w:rsidRDefault="0063512F" w:rsidP="0063512F">
      <w:pPr>
        <w:spacing w:line="276" w:lineRule="auto"/>
        <w:jc w:val="both"/>
        <w:rPr>
          <w:rFonts w:asciiTheme="minorHAnsi" w:hAnsiTheme="minorHAnsi"/>
          <w:color w:val="000000"/>
          <w:sz w:val="22"/>
          <w:szCs w:val="22"/>
        </w:rPr>
      </w:pPr>
      <w:r w:rsidRPr="0063512F">
        <w:rPr>
          <w:rFonts w:asciiTheme="minorHAnsi" w:hAnsiTheme="minorHAnsi"/>
          <w:color w:val="000000"/>
          <w:sz w:val="22"/>
          <w:szCs w:val="22"/>
        </w:rPr>
        <w:t>Cardoso, A. P. (1992). As atitudes dos professores e a inovação pedagógica. Revista Portuguesa de Pedagogia,26(1), pp. 85-99.</w:t>
      </w:r>
    </w:p>
    <w:p w:rsidR="0063512F" w:rsidRPr="0063512F" w:rsidRDefault="0063512F" w:rsidP="0063512F">
      <w:pPr>
        <w:spacing w:line="276" w:lineRule="auto"/>
        <w:jc w:val="both"/>
        <w:rPr>
          <w:rFonts w:asciiTheme="minorHAnsi" w:hAnsiTheme="minorHAnsi"/>
          <w:color w:val="000000"/>
          <w:sz w:val="22"/>
          <w:szCs w:val="22"/>
        </w:rPr>
      </w:pPr>
      <w:proofErr w:type="spellStart"/>
      <w:r w:rsidRPr="0063512F">
        <w:rPr>
          <w:rFonts w:asciiTheme="minorHAnsi" w:hAnsiTheme="minorHAnsi"/>
          <w:color w:val="000000"/>
          <w:sz w:val="22"/>
          <w:szCs w:val="22"/>
        </w:rPr>
        <w:t>Fern</w:t>
      </w:r>
      <w:proofErr w:type="spellEnd"/>
      <w:r w:rsidRPr="0063512F">
        <w:rPr>
          <w:rFonts w:asciiTheme="minorHAnsi" w:hAnsiTheme="minorHAnsi"/>
          <w:color w:val="000000"/>
          <w:sz w:val="22"/>
          <w:szCs w:val="22"/>
        </w:rPr>
        <w:t xml:space="preserve">, E.F. (2001). </w:t>
      </w:r>
      <w:proofErr w:type="spellStart"/>
      <w:r w:rsidRPr="0063512F">
        <w:rPr>
          <w:rFonts w:asciiTheme="minorHAnsi" w:hAnsiTheme="minorHAnsi"/>
          <w:color w:val="000000"/>
          <w:sz w:val="22"/>
          <w:szCs w:val="22"/>
        </w:rPr>
        <w:t>Advanced</w:t>
      </w:r>
      <w:proofErr w:type="spellEnd"/>
      <w:r w:rsidRPr="0063512F">
        <w:rPr>
          <w:rFonts w:asciiTheme="minorHAnsi" w:hAnsiTheme="minorHAnsi"/>
          <w:color w:val="000000"/>
          <w:sz w:val="22"/>
          <w:szCs w:val="22"/>
        </w:rPr>
        <w:t xml:space="preserve"> </w:t>
      </w:r>
      <w:proofErr w:type="spellStart"/>
      <w:r w:rsidRPr="0063512F">
        <w:rPr>
          <w:rFonts w:asciiTheme="minorHAnsi" w:hAnsiTheme="minorHAnsi"/>
          <w:color w:val="000000"/>
          <w:sz w:val="22"/>
          <w:szCs w:val="22"/>
        </w:rPr>
        <w:t>focus</w:t>
      </w:r>
      <w:proofErr w:type="spellEnd"/>
      <w:r w:rsidRPr="0063512F">
        <w:rPr>
          <w:rFonts w:asciiTheme="minorHAnsi" w:hAnsiTheme="minorHAnsi"/>
          <w:color w:val="000000"/>
          <w:sz w:val="22"/>
          <w:szCs w:val="22"/>
        </w:rPr>
        <w:t xml:space="preserve"> </w:t>
      </w:r>
      <w:proofErr w:type="spellStart"/>
      <w:r w:rsidRPr="0063512F">
        <w:rPr>
          <w:rFonts w:asciiTheme="minorHAnsi" w:hAnsiTheme="minorHAnsi"/>
          <w:color w:val="000000"/>
          <w:sz w:val="22"/>
          <w:szCs w:val="22"/>
        </w:rPr>
        <w:t>group</w:t>
      </w:r>
      <w:proofErr w:type="spellEnd"/>
      <w:r w:rsidRPr="0063512F">
        <w:rPr>
          <w:rFonts w:asciiTheme="minorHAnsi" w:hAnsiTheme="minorHAnsi"/>
          <w:color w:val="000000"/>
          <w:sz w:val="22"/>
          <w:szCs w:val="22"/>
        </w:rPr>
        <w:t xml:space="preserve"> </w:t>
      </w:r>
      <w:proofErr w:type="spellStart"/>
      <w:r w:rsidRPr="0063512F">
        <w:rPr>
          <w:rFonts w:asciiTheme="minorHAnsi" w:hAnsiTheme="minorHAnsi"/>
          <w:color w:val="000000"/>
          <w:sz w:val="22"/>
          <w:szCs w:val="22"/>
        </w:rPr>
        <w:t>research</w:t>
      </w:r>
      <w:proofErr w:type="spellEnd"/>
      <w:r w:rsidRPr="0063512F">
        <w:rPr>
          <w:rFonts w:asciiTheme="minorHAnsi" w:hAnsiTheme="minorHAnsi"/>
          <w:color w:val="000000"/>
          <w:sz w:val="22"/>
          <w:szCs w:val="22"/>
        </w:rPr>
        <w:t>. Thousand Oaks, CA: Sage Publications.</w:t>
      </w:r>
    </w:p>
    <w:p w:rsidR="0063512F" w:rsidRPr="0063512F" w:rsidRDefault="0063512F" w:rsidP="0063512F">
      <w:pPr>
        <w:spacing w:line="276" w:lineRule="auto"/>
        <w:jc w:val="both"/>
        <w:rPr>
          <w:rFonts w:asciiTheme="minorHAnsi" w:hAnsiTheme="minorHAnsi"/>
          <w:color w:val="000000"/>
          <w:sz w:val="22"/>
          <w:szCs w:val="22"/>
        </w:rPr>
      </w:pPr>
      <w:r w:rsidRPr="0063512F">
        <w:rPr>
          <w:rFonts w:asciiTheme="minorHAnsi" w:hAnsiTheme="minorHAnsi"/>
          <w:color w:val="000000"/>
          <w:sz w:val="22"/>
          <w:szCs w:val="22"/>
        </w:rPr>
        <w:t>Krueger, R.A., &amp; Casey, M.A. (2009). Focus groups: A practical guide for applied research (4th Ed.).Thousand Oaks, CA: Sage Publications.</w:t>
      </w:r>
    </w:p>
    <w:p w:rsidR="0063512F" w:rsidRPr="0063512F" w:rsidRDefault="0063512F" w:rsidP="0063512F">
      <w:pPr>
        <w:jc w:val="both"/>
        <w:rPr>
          <w:rFonts w:asciiTheme="minorHAnsi" w:hAnsiTheme="minorHAnsi"/>
          <w:color w:val="000000"/>
          <w:sz w:val="22"/>
          <w:szCs w:val="22"/>
        </w:rPr>
      </w:pPr>
      <w:r w:rsidRPr="0063512F">
        <w:rPr>
          <w:rFonts w:asciiTheme="minorHAnsi" w:hAnsiTheme="minorHAnsi"/>
          <w:color w:val="000000"/>
          <w:sz w:val="22"/>
          <w:szCs w:val="22"/>
        </w:rPr>
        <w:t>Simon, S. (1999). How to conduct a focus group. Fieldstone Alliance. Available</w:t>
      </w:r>
      <w:r w:rsidRPr="00D72356">
        <w:rPr>
          <w:rFonts w:ascii="Calibri" w:eastAsia="Calibri" w:hAnsi="Calibri" w:cs="Calibri"/>
          <w:lang w:val="en-GB"/>
        </w:rPr>
        <w:t xml:space="preserve"> at</w:t>
      </w:r>
      <w:proofErr w:type="gramStart"/>
      <w:r w:rsidRPr="00D72356">
        <w:rPr>
          <w:rFonts w:ascii="Calibri" w:eastAsia="Calibri" w:hAnsi="Calibri" w:cs="Calibri"/>
          <w:lang w:val="en-GB"/>
        </w:rPr>
        <w:t>:</w:t>
      </w:r>
      <w:proofErr w:type="gramEnd"/>
      <w:hyperlink r:id="rId10"/>
      <w:hyperlink r:id="rId11">
        <w:r w:rsidRPr="00D72356">
          <w:rPr>
            <w:rFonts w:ascii="Calibri" w:eastAsia="Calibri" w:hAnsi="Calibri" w:cs="Calibri"/>
            <w:color w:val="1155CC"/>
            <w:u w:val="single"/>
            <w:lang w:val="en-GB"/>
          </w:rPr>
          <w:t>https://www.tgci.com/sites/default/files/pdf/How%20to%20Conduct%20a%20Focus%20Group.pdf</w:t>
        </w:r>
      </w:hyperlink>
      <w:r w:rsidRPr="00D72356">
        <w:rPr>
          <w:rFonts w:ascii="Calibri" w:eastAsia="Calibri" w:hAnsi="Calibri" w:cs="Calibri"/>
          <w:lang w:val="en-GB"/>
        </w:rPr>
        <w:t xml:space="preserve"> </w:t>
      </w:r>
      <w:r w:rsidRPr="0063512F">
        <w:rPr>
          <w:rFonts w:asciiTheme="minorHAnsi" w:hAnsiTheme="minorHAnsi"/>
          <w:color w:val="000000"/>
          <w:sz w:val="22"/>
          <w:szCs w:val="22"/>
        </w:rPr>
        <w:t>Access October 30th 2017.</w:t>
      </w:r>
      <w:bookmarkStart w:id="0" w:name="_GoBack"/>
      <w:bookmarkEnd w:id="0"/>
    </w:p>
    <w:p w:rsidR="00880065" w:rsidRPr="0063512F" w:rsidRDefault="00880065">
      <w:pPr>
        <w:rPr>
          <w:lang w:val="en-GB"/>
        </w:rPr>
      </w:pPr>
    </w:p>
    <w:sectPr w:rsidR="00880065" w:rsidRPr="006351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84F0B"/>
    <w:multiLevelType w:val="hybridMultilevel"/>
    <w:tmpl w:val="425AEC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5EF752A"/>
    <w:multiLevelType w:val="hybridMultilevel"/>
    <w:tmpl w:val="D7A2EF9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65"/>
    <w:rsid w:val="0017041B"/>
    <w:rsid w:val="0024112F"/>
    <w:rsid w:val="00316E82"/>
    <w:rsid w:val="0063512F"/>
    <w:rsid w:val="00880065"/>
    <w:rsid w:val="00B037A1"/>
    <w:rsid w:val="00F742C2"/>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F392E"/>
  <w15:docId w15:val="{1C0BC755-C727-4F30-A718-C17BA642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065"/>
    <w:pPr>
      <w:spacing w:after="0" w:line="240" w:lineRule="auto"/>
    </w:pPr>
    <w:rPr>
      <w:rFonts w:ascii="Times New Roman" w:eastAsiaTheme="minorEastAsia"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80065"/>
    <w:pPr>
      <w:spacing w:after="200" w:line="288" w:lineRule="auto"/>
    </w:pPr>
    <w:rPr>
      <w:rFonts w:eastAsiaTheme="minorEastAsia"/>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80065"/>
    <w:pPr>
      <w:ind w:left="720"/>
      <w:contextualSpacing/>
    </w:pPr>
  </w:style>
  <w:style w:type="paragraph" w:styleId="NormalWeb">
    <w:name w:val="Normal (Web)"/>
    <w:basedOn w:val="Normal"/>
    <w:uiPriority w:val="99"/>
    <w:unhideWhenUsed/>
    <w:rsid w:val="00880065"/>
    <w:pPr>
      <w:spacing w:before="100" w:beforeAutospacing="1" w:after="100" w:afterAutospacing="1"/>
    </w:pPr>
  </w:style>
  <w:style w:type="character" w:styleId="Hipervnculo">
    <w:name w:val="Hyperlink"/>
    <w:basedOn w:val="Fuentedeprrafopredeter"/>
    <w:uiPriority w:val="99"/>
    <w:unhideWhenUsed/>
    <w:rsid w:val="00880065"/>
    <w:rPr>
      <w:color w:val="0563C1" w:themeColor="hyperlink"/>
      <w:u w:val="single"/>
    </w:rPr>
  </w:style>
  <w:style w:type="paragraph" w:styleId="Sinespaciado">
    <w:name w:val="No Spacing"/>
    <w:uiPriority w:val="1"/>
    <w:qFormat/>
    <w:rsid w:val="00880065"/>
    <w:pPr>
      <w:spacing w:after="0" w:line="240" w:lineRule="auto"/>
    </w:pPr>
    <w:rPr>
      <w:rFonts w:ascii="Times New Roman" w:eastAsiaTheme="minorEastAsia"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17041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7041B"/>
    <w:rPr>
      <w:rFonts w:ascii="Lucida Grande" w:eastAsiaTheme="minorEastAsia" w:hAnsi="Lucida Grande" w:cs="Lucida Grande"/>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tgci.com/sites/default/files/pdf/How%20to%20Conduct%20a%20Focus%20Group.pdf" TargetMode="External"/><Relationship Id="rId5" Type="http://schemas.openxmlformats.org/officeDocument/2006/relationships/image" Target="media/image1.png"/><Relationship Id="rId10" Type="http://schemas.openxmlformats.org/officeDocument/2006/relationships/hyperlink" Target="https://www.tgci.com/sites/default/files/pdf/How%20to%20Conduct%20a%20Focus%20Group.pdf"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814</Words>
  <Characters>4478</Characters>
  <Application>Microsoft Office Word</Application>
  <DocSecurity>0</DocSecurity>
  <Lines>37</Lines>
  <Paragraphs>10</Paragraphs>
  <ScaleCrop>false</ScaleCrop>
  <HeadingPairs>
    <vt:vector size="4" baseType="variant">
      <vt:variant>
        <vt:lpstr>Título</vt:lpstr>
      </vt:variant>
      <vt:variant>
        <vt:i4>1</vt:i4>
      </vt:variant>
      <vt:variant>
        <vt:lpstr>Títulos</vt:lpstr>
      </vt:variant>
      <vt:variant>
        <vt:i4>14</vt:i4>
      </vt:variant>
    </vt:vector>
  </HeadingPairs>
  <TitlesOfParts>
    <vt:vector size="15" baseType="lpstr">
      <vt:lpstr/>
      <vt:lpstr>//</vt:lpstr>
      <vt:lpstr>ACERCA DE LA HERRAMIENTA</vt:lpstr>
      <vt:lpstr>OBJETIVO</vt:lpstr>
      <vt:lpstr>PASOS</vt:lpstr>
      <vt:lpstr>CONSEJOS</vt:lpstr>
      <vt:lpstr>ESQUEMA VISUAL</vt:lpstr>
      <vt:lpstr>Fuente. Students4Change adaptada de Nesta, DYI Toolkit, 2018</vt:lpstr>
      <vt:lpstr>Fuente. Students4Change </vt:lpstr>
      <vt:lpstr>DESCARGAR PLANTILLA</vt:lpstr>
      <vt:lpstr/>
      <vt:lpstr>REFERENCIAS</vt:lpstr>
      <vt:lpstr>Social Innovation Communities. Repository Learning. </vt:lpstr>
      <vt:lpstr>IDEO. Design Kit. http://www.designkit.org/methods/36 </vt:lpstr>
      <vt:lpstr>Wikipedia. https://es.wikipedia.org/wiki/Fuente_secundaria</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Leobardo Torres Tapia</cp:lastModifiedBy>
  <cp:revision>3</cp:revision>
  <dcterms:created xsi:type="dcterms:W3CDTF">2018-05-23T16:35:00Z</dcterms:created>
  <dcterms:modified xsi:type="dcterms:W3CDTF">2018-05-23T16:39:00Z</dcterms:modified>
</cp:coreProperties>
</file>